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rial" w:cs="Arial" w:hAnsi="Arial" w:eastAsia="Arial"/>
          <w:sz w:val="28"/>
          <w:szCs w:val="28"/>
        </w:rPr>
      </w:pPr>
      <w:r>
        <w:rPr>
          <w:rFonts w:ascii="Arial" w:cs="Arial" w:hAnsi="Arial" w:eastAsia="Arial"/>
          <w:sz w:val="28"/>
          <w:szCs w:val="28"/>
          <w:lang w:val="en-US"/>
        </w:rPr>
        <w:drawing>
          <wp:inline distT="0" distB="0" distL="0" distR="0">
            <wp:extent cx="6116320" cy="830771"/>
            <wp:effectExtent l="0" t="0" r="0" b="0"/>
            <wp:docPr id="1073741825" name="officeArt object" descr="HBTSR logo COLOUR.jpg"/>
            <wp:cNvGraphicFramePr/>
            <a:graphic xmlns:a="http://schemas.openxmlformats.org/drawingml/2006/main">
              <a:graphicData uri="http://schemas.openxmlformats.org/drawingml/2006/picture">
                <pic:pic xmlns:pic="http://schemas.openxmlformats.org/drawingml/2006/picture">
                  <pic:nvPicPr>
                    <pic:cNvPr id="1073741825" name="HBTSR logo COLOUR.jpg" descr="HBTSR logo COLOUR.jpg"/>
                    <pic:cNvPicPr>
                      <a:picLocks noChangeAspect="1"/>
                    </pic:cNvPicPr>
                  </pic:nvPicPr>
                  <pic:blipFill>
                    <a:blip r:embed="rId4">
                      <a:extLst/>
                    </a:blip>
                    <a:stretch>
                      <a:fillRect/>
                    </a:stretch>
                  </pic:blipFill>
                  <pic:spPr>
                    <a:xfrm>
                      <a:off x="0" y="0"/>
                      <a:ext cx="6116320" cy="830771"/>
                    </a:xfrm>
                    <a:prstGeom prst="rect">
                      <a:avLst/>
                    </a:prstGeom>
                    <a:ln w="12700" cap="flat">
                      <a:noFill/>
                      <a:miter lim="400000"/>
                    </a:ln>
                    <a:effectLst/>
                  </pic:spPr>
                </pic:pic>
              </a:graphicData>
            </a:graphic>
          </wp:inline>
        </w:drawing>
      </w:r>
      <w:r>
        <w:rPr>
          <w:rFonts w:ascii="Arial" w:hAnsi="Arial"/>
          <w:b w:val="1"/>
          <w:bCs w:val="1"/>
          <w:sz w:val="28"/>
          <w:szCs w:val="28"/>
          <w:rtl w:val="0"/>
          <w:lang w:val="en-US"/>
        </w:rPr>
        <w:t>Risk Management Policy</w:t>
      </w:r>
      <w:r>
        <w:rPr>
          <w:rFonts w:ascii="Arial Unicode MS" w:cs="Arial Unicode MS" w:hAnsi="Arial Unicode MS" w:eastAsia="Arial Unicode MS"/>
          <w:b w:val="0"/>
          <w:bCs w:val="0"/>
          <w:i w:val="0"/>
          <w:iCs w:val="0"/>
          <w:sz w:val="28"/>
          <w:szCs w:val="28"/>
          <w:lang w:val="en-US"/>
        </w:rPr>
        <w:br w:type="textWrapping"/>
      </w:r>
      <w:r>
        <w:rPr>
          <w:rFonts w:ascii="Arial" w:hAnsi="Arial"/>
          <w:sz w:val="28"/>
          <w:szCs w:val="28"/>
          <w:rtl w:val="0"/>
          <w:lang w:val="en-US"/>
        </w:rPr>
        <w:t xml:space="preserve">Version </w:t>
      </w:r>
      <w:r>
        <w:rPr>
          <w:rFonts w:ascii="Arial" w:hAnsi="Arial"/>
          <w:sz w:val="28"/>
          <w:szCs w:val="28"/>
          <w:rtl w:val="0"/>
          <w:lang w:val="en-US"/>
        </w:rPr>
        <w:t xml:space="preserve">2 May 18 </w:t>
      </w:r>
      <w:r>
        <w:rPr>
          <w:rFonts w:ascii="Arial" w:hAnsi="Arial"/>
          <w:sz w:val="28"/>
          <w:szCs w:val="28"/>
          <w:rtl w:val="0"/>
          <w:lang w:val="en-US"/>
        </w:rPr>
        <w:t>2019</w:t>
      </w:r>
    </w:p>
    <w:p>
      <w:pPr>
        <w:pStyle w:val="Body A"/>
        <w:rPr>
          <w:rFonts w:ascii="Arial" w:cs="Arial" w:hAnsi="Arial" w:eastAsia="Arial"/>
          <w:sz w:val="28"/>
          <w:szCs w:val="28"/>
          <w:lang w:val="en-US"/>
        </w:rPr>
      </w:pPr>
    </w:p>
    <w:p>
      <w:pPr>
        <w:pStyle w:val="Body A"/>
        <w:rPr>
          <w:rFonts w:ascii="Arial" w:cs="Arial" w:hAnsi="Arial" w:eastAsia="Arial"/>
          <w:i w:val="1"/>
          <w:iCs w:val="1"/>
          <w:sz w:val="28"/>
          <w:szCs w:val="28"/>
          <w:lang w:val="en-US"/>
        </w:rPr>
      </w:pPr>
      <w:r>
        <w:rPr>
          <w:rFonts w:ascii="Arial" w:hAnsi="Arial"/>
          <w:i w:val="1"/>
          <w:iCs w:val="1"/>
          <w:sz w:val="28"/>
          <w:szCs w:val="28"/>
          <w:rtl w:val="0"/>
          <w:lang w:val="en-US"/>
        </w:rPr>
        <w:t>This policy applies to Trustees, group members</w:t>
      </w:r>
      <w:r>
        <w:rPr>
          <w:rFonts w:ascii="Arial" w:hAnsi="Arial"/>
          <w:i w:val="1"/>
          <w:iCs w:val="1"/>
          <w:sz w:val="28"/>
          <w:szCs w:val="28"/>
          <w:rtl w:val="0"/>
          <w:lang w:val="en-US"/>
        </w:rPr>
        <w:t>/</w:t>
      </w:r>
      <w:r>
        <w:rPr>
          <w:rFonts w:ascii="Arial" w:hAnsi="Arial"/>
          <w:i w:val="1"/>
          <w:iCs w:val="1"/>
          <w:sz w:val="28"/>
          <w:szCs w:val="28"/>
          <w:rtl w:val="0"/>
          <w:lang w:val="en-US"/>
        </w:rPr>
        <w:t xml:space="preserve"> volunteers</w:t>
      </w:r>
      <w:r>
        <w:rPr>
          <w:rFonts w:ascii="Arial" w:hAnsi="Arial"/>
          <w:i w:val="1"/>
          <w:iCs w:val="1"/>
          <w:sz w:val="28"/>
          <w:szCs w:val="28"/>
          <w:rtl w:val="0"/>
          <w:lang w:val="en-US"/>
        </w:rPr>
        <w:t xml:space="preserve">/ activities </w:t>
      </w:r>
    </w:p>
    <w:p>
      <w:pPr>
        <w:pStyle w:val="heading 4"/>
      </w:pPr>
      <w:r>
        <w:rPr>
          <w:rtl w:val="0"/>
        </w:rPr>
        <w:t xml:space="preserve">Why we have a policy </w:t>
      </w:r>
    </w:p>
    <w:p>
      <w:pPr>
        <w:pStyle w:val="Body"/>
      </w:pPr>
      <w:r>
        <w:rPr>
          <w:rtl w:val="0"/>
        </w:rPr>
        <w:t xml:space="preserve">A risk is something uncertain </w:t>
      </w:r>
      <w:r>
        <w:rPr>
          <w:rtl w:val="0"/>
        </w:rPr>
        <w:t xml:space="preserve">– </w:t>
      </w:r>
      <w:r>
        <w:rPr>
          <w:rtl w:val="0"/>
        </w:rPr>
        <w:t xml:space="preserve">it might happen or it might not. It matters because the outcome could have an effect on HBTSR, our objectives or those with and for whom we work. No activity is risk-free and all </w:t>
      </w:r>
      <w:r>
        <w:rPr>
          <w:rtl w:val="0"/>
        </w:rPr>
        <w:t>organisations</w:t>
      </w:r>
      <w:r>
        <w:rPr>
          <w:rtl w:val="0"/>
        </w:rPr>
        <w:t xml:space="preserve"> must accept some degree of risk, or they would be unable to do anything. But, to </w:t>
      </w:r>
      <w:r>
        <w:rPr>
          <w:rtl w:val="0"/>
        </w:rPr>
        <w:t>‘</w:t>
      </w:r>
      <w:r>
        <w:rPr>
          <w:rtl w:val="0"/>
        </w:rPr>
        <w:t>manage</w:t>
      </w:r>
      <w:r>
        <w:rPr>
          <w:rtl w:val="0"/>
        </w:rPr>
        <w:t xml:space="preserve">’ </w:t>
      </w:r>
      <w:r>
        <w:rPr>
          <w:rtl w:val="0"/>
        </w:rPr>
        <w:t xml:space="preserve">risk, we need to consider how likely it is that something will happen, how serious an impact it would have if it did, what we can do to </w:t>
      </w:r>
      <w:r>
        <w:rPr>
          <w:rtl w:val="0"/>
        </w:rPr>
        <w:t>minimise</w:t>
      </w:r>
      <w:r>
        <w:rPr>
          <w:rtl w:val="0"/>
        </w:rPr>
        <w:t xml:space="preserve"> the risk, and how we can properly assess and monitor risks.</w:t>
      </w:r>
    </w:p>
    <w:p>
      <w:pPr>
        <w:pStyle w:val="Body"/>
      </w:pPr>
      <w:r>
        <w:rPr>
          <w:rtl w:val="0"/>
        </w:rPr>
        <w:t>HBTSR is not large enough to be legally obliged to include a risk management statement in the trustees</w:t>
      </w:r>
      <w:r>
        <w:rPr>
          <w:rtl w:val="0"/>
        </w:rPr>
        <w:t xml:space="preserve">’ </w:t>
      </w:r>
      <w:r>
        <w:rPr>
          <w:rtl w:val="0"/>
        </w:rPr>
        <w:t xml:space="preserve">annual report. However, our small size, reliance on volunteers and the variety of activities and venues in which we work contribute to significant levels of risk. The trustees </w:t>
      </w:r>
      <w:r>
        <w:rPr>
          <w:rtl w:val="0"/>
        </w:rPr>
        <w:t xml:space="preserve">will </w:t>
      </w:r>
      <w:r>
        <w:rPr>
          <w:rtl w:val="0"/>
        </w:rPr>
        <w:t xml:space="preserve"> regularly review and assess the risks faced by HBTSR in all areas of its work and plan for the management of those risks. Charity Commission Guidance is provided in </w:t>
      </w:r>
      <w:r>
        <w:rPr>
          <w:rStyle w:val="Hyperlink.0"/>
        </w:rPr>
        <w:fldChar w:fldCharType="begin" w:fldLock="0"/>
      </w:r>
      <w:r>
        <w:rPr>
          <w:rStyle w:val="Hyperlink.0"/>
        </w:rPr>
        <w:instrText xml:space="preserve"> HYPERLINK "https://assets.publishing.service.gov.uk/government/uploads/system/uploads/attachment_data/file/589944/CC26.pdf"</w:instrText>
      </w:r>
      <w:r>
        <w:rPr>
          <w:rStyle w:val="Hyperlink.0"/>
        </w:rPr>
        <w:fldChar w:fldCharType="separate" w:fldLock="0"/>
      </w:r>
      <w:r>
        <w:rPr>
          <w:rStyle w:val="Hyperlink.0"/>
          <w:rtl w:val="0"/>
        </w:rPr>
        <w:t>Charities and Risk Management (CC26)</w:t>
      </w:r>
      <w:r>
        <w:rPr/>
        <w:fldChar w:fldCharType="end" w:fldLock="0"/>
      </w:r>
      <w:r>
        <w:rPr>
          <w:rtl w:val="0"/>
        </w:rPr>
        <w:t xml:space="preserve">. See also </w:t>
      </w:r>
      <w:r>
        <w:rPr>
          <w:rStyle w:val="Hyperlink.0"/>
        </w:rPr>
        <w:fldChar w:fldCharType="begin" w:fldLock="0"/>
      </w:r>
      <w:r>
        <w:rPr>
          <w:rStyle w:val="Hyperlink.0"/>
        </w:rPr>
        <w:instrText xml:space="preserve"> HYPERLINK "https://www.theirm.org/media/1238690/CharitiesGuidanceV6FINAL.pdf"</w:instrText>
      </w:r>
      <w:r>
        <w:rPr>
          <w:rStyle w:val="Hyperlink.0"/>
        </w:rPr>
        <w:fldChar w:fldCharType="separate" w:fldLock="0"/>
      </w:r>
      <w:r>
        <w:rPr>
          <w:rStyle w:val="Hyperlink.0"/>
          <w:rtl w:val="0"/>
        </w:rPr>
        <w:t>Risk Management for Charities</w:t>
      </w:r>
      <w:r>
        <w:rPr/>
        <w:fldChar w:fldCharType="end" w:fldLock="0"/>
      </w:r>
      <w:r>
        <w:rPr>
          <w:rtl w:val="0"/>
        </w:rPr>
        <w:t>, from the Institute of Risk Management. Trustees and HBTSR officers should read these documents</w:t>
      </w:r>
      <w:r>
        <w:rPr>
          <w:rtl w:val="0"/>
        </w:rPr>
        <w:t>.</w:t>
      </w:r>
    </w:p>
    <w:p>
      <w:pPr>
        <w:pStyle w:val="Body"/>
        <w:rPr>
          <w:b w:val="1"/>
          <w:bCs w:val="1"/>
        </w:rPr>
      </w:pPr>
      <w:r>
        <w:rPr>
          <w:b w:val="1"/>
          <w:bCs w:val="1"/>
          <w:rtl w:val="0"/>
          <w:lang w:val="en-US"/>
        </w:rPr>
        <w:t>What risks should we consider?</w:t>
      </w:r>
    </w:p>
    <w:p>
      <w:pPr>
        <w:pStyle w:val="Body"/>
      </w:pPr>
      <w:r>
        <w:rPr>
          <w:rtl w:val="0"/>
        </w:rPr>
        <w:t>There are five main types of risk. The table below gives examples of each type which might affect HBTSR (it is not an exhaustive list):</w:t>
      </w:r>
    </w:p>
    <w:tbl>
      <w:tblPr>
        <w:tblW w:w="96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585"/>
        <w:gridCol w:w="4396"/>
        <w:gridCol w:w="3647"/>
      </w:tblGrid>
      <w:tr>
        <w:tblPrEx>
          <w:shd w:val="clear" w:color="auto" w:fill="cadfff"/>
        </w:tblPrEx>
        <w:trPr>
          <w:trHeight w:val="300"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i w:val="1"/>
                <w:iCs w:val="1"/>
                <w:rtl w:val="0"/>
                <w:lang w:val="en-US"/>
              </w:rPr>
              <w:t>Risk-type</w:t>
            </w:r>
          </w:p>
        </w:tc>
        <w:tc>
          <w:tcPr>
            <w:tcW w:type="dxa" w:w="43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i w:val="1"/>
                <w:iCs w:val="1"/>
                <w:rtl w:val="0"/>
                <w:lang w:val="en-US"/>
              </w:rPr>
              <w:t>Examples of risks specific to HBTSR</w:t>
            </w:r>
          </w:p>
        </w:tc>
        <w:tc>
          <w:tcPr>
            <w:tcW w:type="dxa" w:w="3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i w:val="1"/>
                <w:iCs w:val="1"/>
                <w:rtl w:val="0"/>
                <w:lang w:val="en-US"/>
              </w:rPr>
              <w:t>When to identify and review</w:t>
            </w:r>
          </w:p>
        </w:tc>
      </w:tr>
      <w:tr>
        <w:tblPrEx>
          <w:shd w:val="clear" w:color="auto" w:fill="cadfff"/>
        </w:tblPrEx>
        <w:trPr>
          <w:trHeight w:val="1200"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Governance</w:t>
            </w:r>
          </w:p>
        </w:tc>
        <w:tc>
          <w:tcPr>
            <w:tcW w:type="dxa" w:w="43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Poor organizational structure; trustees lacking skills or commitment; conflicts of interest; failure to recruit and replace trustees, officers and key volunteers</w:t>
            </w:r>
          </w:p>
        </w:tc>
        <w:tc>
          <w:tcPr>
            <w:tcW w:type="dxa" w:w="3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At trustees meetings and specific report to AGM</w:t>
            </w:r>
          </w:p>
        </w:tc>
      </w:tr>
      <w:tr>
        <w:tblPrEx>
          <w:shd w:val="clear" w:color="auto" w:fill="cadfff"/>
        </w:tblPrEx>
        <w:trPr>
          <w:trHeight w:val="900"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Operational</w:t>
            </w:r>
          </w:p>
        </w:tc>
        <w:tc>
          <w:tcPr>
            <w:tcW w:type="dxa" w:w="43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 xml:space="preserve">Safety for refugee guests or volunteers; </w:t>
            </w:r>
            <w:r>
              <w:rPr>
                <w:rtl w:val="0"/>
                <w:lang w:val="en-US"/>
              </w:rPr>
              <w:t xml:space="preserve">vulnerable people </w:t>
            </w:r>
            <w:r>
              <w:rPr>
                <w:rtl w:val="0"/>
                <w:lang w:val="en-US"/>
              </w:rPr>
              <w:t>safeguarding; problems with venues, transport or equipment</w:t>
            </w:r>
          </w:p>
        </w:tc>
        <w:tc>
          <w:tcPr>
            <w:tcW w:type="dxa" w:w="3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 xml:space="preserve">Before each event or project, with guidelines for recurring events (e.g. </w:t>
            </w:r>
            <w:r>
              <w:rPr>
                <w:rtl w:val="0"/>
                <w:lang w:val="en-US"/>
              </w:rPr>
              <w:t>Welcome</w:t>
            </w:r>
            <w:r>
              <w:rPr>
                <w:rtl w:val="0"/>
                <w:lang w:val="en-US"/>
              </w:rPr>
              <w:t xml:space="preserve"> days)</w:t>
            </w:r>
          </w:p>
        </w:tc>
      </w:tr>
      <w:tr>
        <w:tblPrEx>
          <w:shd w:val="clear" w:color="auto" w:fill="cadfff"/>
        </w:tblPrEx>
        <w:trPr>
          <w:trHeight w:val="600"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Financial</w:t>
            </w:r>
          </w:p>
        </w:tc>
        <w:tc>
          <w:tcPr>
            <w:tcW w:type="dxa" w:w="43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Insufficient funding; lack of fund-raising; inadequate reserves;</w:t>
            </w:r>
          </w:p>
        </w:tc>
        <w:tc>
          <w:tcPr>
            <w:tcW w:type="dxa" w:w="3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Treasurer</w:t>
            </w:r>
            <w:r>
              <w:rPr>
                <w:rtl w:val="0"/>
                <w:lang w:val="en-US"/>
              </w:rPr>
              <w:t>’</w:t>
            </w:r>
            <w:r>
              <w:rPr>
                <w:rtl w:val="0"/>
                <w:lang w:val="en-US"/>
              </w:rPr>
              <w:t>s reports to group meetings and AGM</w:t>
            </w:r>
          </w:p>
        </w:tc>
      </w:tr>
      <w:tr>
        <w:tblPrEx>
          <w:shd w:val="clear" w:color="auto" w:fill="cadfff"/>
        </w:tblPrEx>
        <w:trPr>
          <w:trHeight w:val="900"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External</w:t>
            </w:r>
          </w:p>
        </w:tc>
        <w:tc>
          <w:tcPr>
            <w:tcW w:type="dxa" w:w="43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rPr>
              <w:t>H</w:t>
            </w:r>
            <w:r>
              <w:rPr>
                <w:rtl w:val="0"/>
                <w:lang w:val="en-US"/>
              </w:rPr>
              <w:t>ostile responses within communities; changes in drop-in and other organizations working</w:t>
            </w:r>
          </w:p>
        </w:tc>
        <w:tc>
          <w:tcPr>
            <w:tcW w:type="dxa" w:w="3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Before each event or project</w:t>
            </w:r>
          </w:p>
        </w:tc>
      </w:tr>
      <w:tr>
        <w:tblPrEx>
          <w:shd w:val="clear" w:color="auto" w:fill="cadfff"/>
        </w:tblPrEx>
        <w:trPr>
          <w:trHeight w:val="900"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Compliance</w:t>
            </w:r>
          </w:p>
        </w:tc>
        <w:tc>
          <w:tcPr>
            <w:tcW w:type="dxa" w:w="43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Failure to meet Charity Commission or other regulatory requirements; failure to complete reporting for project funders</w:t>
            </w:r>
          </w:p>
        </w:tc>
        <w:tc>
          <w:tcPr>
            <w:tcW w:type="dxa" w:w="3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At AGM</w:t>
            </w:r>
          </w:p>
        </w:tc>
      </w:tr>
    </w:tbl>
    <w:p>
      <w:pPr>
        <w:pStyle w:val="Body"/>
        <w:widowControl w:val="0"/>
      </w:pPr>
    </w:p>
    <w:p>
      <w:pPr>
        <w:pStyle w:val="Body"/>
      </w:pPr>
    </w:p>
    <w:p>
      <w:pPr>
        <w:pStyle w:val="heading 4"/>
      </w:pPr>
      <w:r>
        <w:rPr>
          <w:rtl w:val="0"/>
        </w:rPr>
        <w:t>How can risks be managed?</w:t>
      </w:r>
    </w:p>
    <w:p>
      <w:pPr>
        <w:pStyle w:val="Body"/>
      </w:pPr>
      <w:r>
        <w:rPr>
          <w:rtl w:val="0"/>
        </w:rPr>
        <w:t>Accept that all activities carry some degree of risk</w:t>
      </w:r>
    </w:p>
    <w:p>
      <w:pPr>
        <w:pStyle w:val="List Paragraph"/>
        <w:numPr>
          <w:ilvl w:val="0"/>
          <w:numId w:val="2"/>
        </w:numPr>
        <w:rPr>
          <w:lang w:val="en-US"/>
        </w:rPr>
      </w:pPr>
      <w:r>
        <w:rPr>
          <w:rtl w:val="0"/>
          <w:lang w:val="en-US"/>
        </w:rPr>
        <w:t>Risks</w:t>
      </w:r>
      <w:r>
        <w:rPr>
          <w:rtl w:val="0"/>
          <w:lang w:val="en-US"/>
        </w:rPr>
        <w:t xml:space="preserve"> should </w:t>
      </w:r>
      <w:r>
        <w:rPr>
          <w:rtl w:val="0"/>
          <w:lang w:val="en-US"/>
        </w:rPr>
        <w:t>be identified</w:t>
      </w:r>
    </w:p>
    <w:p>
      <w:pPr>
        <w:pStyle w:val="List Paragraph"/>
        <w:numPr>
          <w:ilvl w:val="0"/>
          <w:numId w:val="2"/>
        </w:numPr>
        <w:rPr>
          <w:lang w:val="en-US"/>
        </w:rPr>
      </w:pPr>
      <w:r>
        <w:rPr>
          <w:rtl w:val="0"/>
          <w:lang w:val="en-US"/>
        </w:rPr>
        <w:t>Assess risks by determining the likelihood of something happening and the severity of impact if it does happen</w:t>
      </w:r>
    </w:p>
    <w:p>
      <w:pPr>
        <w:pStyle w:val="List Paragraph"/>
        <w:numPr>
          <w:ilvl w:val="0"/>
          <w:numId w:val="2"/>
        </w:numPr>
        <w:rPr>
          <w:lang w:val="en-US"/>
        </w:rPr>
      </w:pPr>
      <w:r>
        <w:rPr>
          <w:rtl w:val="0"/>
          <w:lang w:val="en-US"/>
        </w:rPr>
        <w:t>Taking action to deal with risks. The obvious alternatives are:</w:t>
      </w:r>
    </w:p>
    <w:p>
      <w:pPr>
        <w:pStyle w:val="List Paragraph"/>
        <w:numPr>
          <w:ilvl w:val="1"/>
          <w:numId w:val="2"/>
        </w:numPr>
        <w:rPr>
          <w:lang w:val="en-US"/>
        </w:rPr>
      </w:pPr>
      <w:r>
        <w:rPr>
          <w:rtl w:val="0"/>
          <w:lang w:val="en-US"/>
        </w:rPr>
        <w:t>Transfer the risk to third parties, usually by sharing, insurance or outsourcing</w:t>
      </w:r>
    </w:p>
    <w:p>
      <w:pPr>
        <w:pStyle w:val="List Paragraph"/>
        <w:numPr>
          <w:ilvl w:val="1"/>
          <w:numId w:val="2"/>
        </w:numPr>
        <w:rPr>
          <w:lang w:val="en-US"/>
        </w:rPr>
      </w:pPr>
      <w:r>
        <w:rPr>
          <w:rtl w:val="0"/>
          <w:lang w:val="en-US"/>
        </w:rPr>
        <w:t>Avoid risk by stopping the activity</w:t>
      </w:r>
    </w:p>
    <w:p>
      <w:pPr>
        <w:pStyle w:val="List Paragraph"/>
        <w:numPr>
          <w:ilvl w:val="1"/>
          <w:numId w:val="2"/>
        </w:numPr>
        <w:rPr>
          <w:lang w:val="en-US"/>
        </w:rPr>
      </w:pPr>
      <w:r>
        <w:rPr>
          <w:rtl w:val="0"/>
          <w:lang w:val="en-US"/>
        </w:rPr>
        <w:t>Manage or mitigate the risk</w:t>
      </w:r>
    </w:p>
    <w:p>
      <w:pPr>
        <w:pStyle w:val="List Paragraph"/>
        <w:numPr>
          <w:ilvl w:val="1"/>
          <w:numId w:val="2"/>
        </w:numPr>
        <w:rPr>
          <w:lang w:val="en-US"/>
        </w:rPr>
      </w:pPr>
      <w:r>
        <w:rPr>
          <w:rtl w:val="0"/>
          <w:lang w:val="en-US"/>
        </w:rPr>
        <w:t>Accept risk as unavoidable if activity is to continue</w:t>
      </w:r>
    </w:p>
    <w:p>
      <w:pPr>
        <w:pStyle w:val="List Paragraph"/>
        <w:numPr>
          <w:ilvl w:val="0"/>
          <w:numId w:val="2"/>
        </w:numPr>
        <w:rPr>
          <w:lang w:val="en-US"/>
        </w:rPr>
      </w:pPr>
      <w:r>
        <w:rPr>
          <w:rtl w:val="0"/>
          <w:lang w:val="en-US"/>
        </w:rPr>
        <w:t>Monitoring and reviewing risk</w:t>
      </w:r>
    </w:p>
    <w:p>
      <w:pPr>
        <w:pStyle w:val="heading 4"/>
      </w:pPr>
      <w:r>
        <w:rPr>
          <w:rtl w:val="0"/>
        </w:rPr>
        <w:t>Who should be responsible?</w:t>
      </w:r>
    </w:p>
    <w:p>
      <w:pPr>
        <w:pStyle w:val="Body"/>
      </w:pPr>
      <w:r>
        <w:rPr>
          <w:rtl w:val="0"/>
        </w:rPr>
        <w:t>HBTSR  designate one Trustee as Risk Management Officer</w:t>
      </w:r>
      <w:r>
        <w:rPr>
          <w:rtl w:val="0"/>
        </w:rPr>
        <w:t xml:space="preserve">- Currently Melrose East. </w:t>
      </w:r>
    </w:p>
    <w:p>
      <w:pPr>
        <w:pStyle w:val="Body"/>
      </w:pPr>
      <w:r>
        <w:rPr>
          <w:rtl w:val="0"/>
        </w:rPr>
        <w:t xml:space="preserve">Each major event or activity should explicitly identify the person responsible for risk management. This will usually be the event </w:t>
      </w:r>
      <w:r>
        <w:rPr>
          <w:rtl w:val="0"/>
        </w:rPr>
        <w:t>organiser</w:t>
      </w:r>
      <w:r>
        <w:rPr>
          <w:rtl w:val="0"/>
        </w:rPr>
        <w:t xml:space="preserve"> but, for larger events or projects, it may be advisable to designate another person to focus on risk.</w:t>
      </w:r>
    </w:p>
    <w:p>
      <w:pPr>
        <w:pStyle w:val="heading 4"/>
      </w:pPr>
      <w:r>
        <w:rPr>
          <w:rtl w:val="0"/>
        </w:rPr>
        <w:t>What actions should be taken?</w:t>
      </w:r>
    </w:p>
    <w:p>
      <w:pPr>
        <w:pStyle w:val="Body"/>
      </w:pPr>
      <w:r>
        <w:rPr>
          <w:rtl w:val="0"/>
        </w:rPr>
        <w:t xml:space="preserve">As noted in the table, most </w:t>
      </w:r>
      <w:r>
        <w:rPr>
          <w:b w:val="1"/>
          <w:bCs w:val="1"/>
          <w:rtl w:val="0"/>
          <w:lang w:val="en-US"/>
        </w:rPr>
        <w:t>Governance, External and Compliance</w:t>
      </w:r>
      <w:r>
        <w:rPr>
          <w:rtl w:val="0"/>
        </w:rPr>
        <w:t xml:space="preserve"> risks can be dealt with by the Trustees and the AGM.</w:t>
      </w:r>
    </w:p>
    <w:p>
      <w:pPr>
        <w:pStyle w:val="Body"/>
      </w:pPr>
      <w:r>
        <w:rPr>
          <w:b w:val="1"/>
          <w:bCs w:val="1"/>
          <w:rtl w:val="0"/>
          <w:lang w:val="pt-PT"/>
        </w:rPr>
        <w:t>Financial</w:t>
      </w:r>
      <w:r>
        <w:rPr>
          <w:rtl w:val="0"/>
        </w:rPr>
        <w:t xml:space="preserve"> risks will be dealt with by the Treasurer and reviewed at Group Meetings, Trustee Meetings and the AGM.</w:t>
      </w:r>
    </w:p>
    <w:p>
      <w:pPr>
        <w:pStyle w:val="Body"/>
      </w:pPr>
      <w:r>
        <w:rPr>
          <w:rtl w:val="0"/>
        </w:rPr>
        <w:t xml:space="preserve">The most important and complex areas of risk for HBTSR are </w:t>
      </w:r>
      <w:r>
        <w:rPr>
          <w:b w:val="1"/>
          <w:bCs w:val="1"/>
          <w:rtl w:val="0"/>
          <w:lang w:val="fr-FR"/>
        </w:rPr>
        <w:t>operational</w:t>
      </w:r>
      <w:r>
        <w:rPr>
          <w:rtl w:val="0"/>
        </w:rPr>
        <w:t xml:space="preserve"> – </w:t>
      </w:r>
      <w:r>
        <w:rPr>
          <w:rtl w:val="0"/>
        </w:rPr>
        <w:t>in the planning and execution of our activities and projects.</w:t>
      </w:r>
    </w:p>
    <w:p>
      <w:pPr>
        <w:pStyle w:val="Body"/>
      </w:pPr>
      <w:r>
        <w:rPr>
          <w:b w:val="1"/>
          <w:bCs w:val="1"/>
          <w:rtl w:val="0"/>
          <w:lang w:val="en-US"/>
        </w:rPr>
        <w:t xml:space="preserve">Recurrent activities: </w:t>
      </w:r>
      <w:r>
        <w:rPr>
          <w:rtl w:val="0"/>
        </w:rPr>
        <w:t xml:space="preserve">a set of Risk Guidelines </w:t>
      </w:r>
      <w:r>
        <w:rPr>
          <w:rtl w:val="0"/>
        </w:rPr>
        <w:t xml:space="preserve">will </w:t>
      </w:r>
      <w:r>
        <w:rPr>
          <w:rtl w:val="0"/>
        </w:rPr>
        <w:t xml:space="preserve"> be drawn up for each of HBTSR</w:t>
      </w:r>
      <w:r>
        <w:rPr>
          <w:rtl w:val="0"/>
        </w:rPr>
        <w:t>’</w:t>
      </w:r>
      <w:r>
        <w:rPr>
          <w:rtl w:val="0"/>
        </w:rPr>
        <w:t xml:space="preserve">s major recurrent activities. A copy should be given to the </w:t>
      </w:r>
      <w:r>
        <w:rPr>
          <w:rtl w:val="0"/>
        </w:rPr>
        <w:t>organiser</w:t>
      </w:r>
      <w:r>
        <w:rPr>
          <w:rtl w:val="0"/>
        </w:rPr>
        <w:t xml:space="preserve"> of each event.</w:t>
      </w:r>
    </w:p>
    <w:p>
      <w:pPr>
        <w:pStyle w:val="Body"/>
      </w:pPr>
      <w:r>
        <w:rPr>
          <w:b w:val="1"/>
          <w:bCs w:val="1"/>
          <w:rtl w:val="0"/>
          <w:lang w:val="en-US"/>
        </w:rPr>
        <w:t xml:space="preserve">One-off activities: </w:t>
      </w:r>
      <w:r>
        <w:rPr>
          <w:rtl w:val="0"/>
        </w:rPr>
        <w:t>a risk assessment should be drawn up ad hoc for each activity</w:t>
      </w:r>
    </w:p>
    <w:p>
      <w:pPr>
        <w:pStyle w:val="Body"/>
        <w:rPr>
          <w:b w:val="1"/>
          <w:bCs w:val="1"/>
        </w:rPr>
      </w:pPr>
      <w:r>
        <w:rPr>
          <w:b w:val="1"/>
          <w:bCs w:val="1"/>
          <w:rtl w:val="0"/>
          <w:lang w:val="en-US"/>
        </w:rPr>
        <w:t xml:space="preserve">Monitoring and reporting: </w:t>
      </w:r>
    </w:p>
    <w:p>
      <w:pPr>
        <w:pStyle w:val="List Paragraph"/>
        <w:numPr>
          <w:ilvl w:val="0"/>
          <w:numId w:val="4"/>
        </w:numPr>
        <w:rPr>
          <w:lang w:val="en-US"/>
        </w:rPr>
      </w:pPr>
      <w:r>
        <w:rPr>
          <w:rtl w:val="0"/>
          <w:lang w:val="en-US"/>
        </w:rPr>
        <w:t xml:space="preserve">The </w:t>
      </w:r>
      <w:r>
        <w:rPr>
          <w:rtl w:val="0"/>
          <w:lang w:val="en-US"/>
        </w:rPr>
        <w:t xml:space="preserve">Trustee </w:t>
      </w:r>
      <w:r>
        <w:rPr>
          <w:rtl w:val="0"/>
          <w:lang w:val="en-US"/>
        </w:rPr>
        <w:t xml:space="preserve">Risk Management Officer </w:t>
      </w:r>
      <w:r>
        <w:rPr>
          <w:rtl w:val="0"/>
          <w:lang w:val="en-US"/>
        </w:rPr>
        <w:t xml:space="preserve"> will discuss risk management with event organisers and </w:t>
      </w:r>
      <w:r>
        <w:rPr>
          <w:rtl w:val="0"/>
          <w:lang w:val="en-US"/>
        </w:rPr>
        <w:t xml:space="preserve">request and collect a report, whether verbal or written, after each activity of any risks identified or impacts occurring in the course of the activity. </w:t>
      </w:r>
    </w:p>
    <w:p>
      <w:pPr>
        <w:pStyle w:val="List Paragraph"/>
        <w:numPr>
          <w:ilvl w:val="0"/>
          <w:numId w:val="4"/>
        </w:numPr>
        <w:rPr>
          <w:lang w:val="en-US"/>
        </w:rPr>
      </w:pPr>
      <w:r>
        <w:rPr>
          <w:rtl w:val="0"/>
          <w:lang w:val="en-US"/>
        </w:rPr>
        <w:t xml:space="preserve">These risk reports </w:t>
      </w:r>
      <w:r>
        <w:rPr>
          <w:rtl w:val="0"/>
          <w:lang w:val="en-US"/>
        </w:rPr>
        <w:t xml:space="preserve">will be discussed at </w:t>
      </w:r>
      <w:r>
        <w:rPr>
          <w:rtl w:val="0"/>
          <w:lang w:val="en-US"/>
        </w:rPr>
        <w:t xml:space="preserve"> the Group Meeting and, if necessary</w:t>
      </w:r>
      <w:r>
        <w:rPr>
          <w:rtl w:val="0"/>
          <w:lang w:val="en-US"/>
        </w:rPr>
        <w:t xml:space="preserve"> reported </w:t>
      </w:r>
      <w:r>
        <w:rPr>
          <w:rtl w:val="0"/>
          <w:lang w:val="en-US"/>
        </w:rPr>
        <w:t>to the Trustees and AGM</w:t>
      </w:r>
    </w:p>
    <w:p>
      <w:pPr>
        <w:pStyle w:val="List Paragraph"/>
        <w:numPr>
          <w:ilvl w:val="0"/>
          <w:numId w:val="4"/>
        </w:numPr>
        <w:rPr>
          <w:lang w:val="en-US"/>
        </w:rPr>
      </w:pPr>
      <w:r>
        <w:rPr>
          <w:rtl w:val="0"/>
          <w:lang w:val="en-US"/>
        </w:rPr>
        <w:t>Risk Guidelines should be revised in the light of specific risk reports</w:t>
      </w:r>
    </w:p>
    <w:p>
      <w:pPr>
        <w:pStyle w:val="List Paragraph"/>
        <w:numPr>
          <w:ilvl w:val="0"/>
          <w:numId w:val="4"/>
        </w:numPr>
        <w:rPr>
          <w:lang w:val="en-US"/>
        </w:rPr>
      </w:pPr>
      <w:r>
        <w:rPr>
          <w:rtl w:val="0"/>
          <w:lang w:val="en-US"/>
        </w:rPr>
        <w:t>The Risk Management Officer should report to the AGM any changes necessary to this Policy or to future risk management.</w:t>
      </w:r>
    </w:p>
    <w:p>
      <w:pPr>
        <w:pStyle w:val="Body"/>
      </w:pPr>
      <w:r>
        <w:rPr>
          <w:rtl w:val="0"/>
        </w:rPr>
        <w:t>This Policy should be reviewed annually and any changes agreed at the AGM.</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pBdr>
        <w:top w:val="single" w:color="000000" w:sz="4" w:space="0" w:shadow="0" w:frame="0"/>
        <w:left w:val="nil"/>
        <w:bottom w:val="nil"/>
        <w:right w:val="nil"/>
      </w:pBdr>
      <w:tabs>
        <w:tab w:val="center" w:pos="4819"/>
        <w:tab w:val="right" w:pos="9612"/>
        <w:tab w:val="clear" w:pos="9020"/>
      </w:tabs>
      <w:spacing w:line="280" w:lineRule="atLeast"/>
    </w:pPr>
    <w:r>
      <w:rPr>
        <w:rFonts w:ascii="Arial" w:hAnsi="Arial"/>
        <w:rtl w:val="0"/>
        <w:lang w:val="en-US"/>
      </w:rPr>
      <w:t>Registered charity number 1173570</w:t>
      <w:tab/>
      <w:tab/>
    </w:r>
    <w:r>
      <w:rPr>
        <w:rtl w:val="0"/>
        <w:lang w:val="en-US"/>
      </w:rPr>
      <w:t>Version 1.0 of April 27 2019</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6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6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4">
    <w:name w:val="heading 4"/>
    <w:next w:val="Body"/>
    <w:pPr>
      <w:keepNext w:val="1"/>
      <w:keepLines w:val="1"/>
      <w:pageBreakBefore w:val="0"/>
      <w:widowControl w:val="1"/>
      <w:shd w:val="clear" w:color="auto" w:fill="auto"/>
      <w:suppressAutoHyphens w:val="0"/>
      <w:bidi w:val="0"/>
      <w:spacing w:before="120" w:after="60" w:line="240" w:lineRule="auto"/>
      <w:ind w:left="0" w:right="0" w:firstLine="0"/>
      <w:jc w:val="left"/>
      <w:outlineLvl w:val="1"/>
    </w:pPr>
    <w:rPr>
      <w:rFonts w:ascii="Arial" w:cs="Arial Unicode MS" w:hAnsi="Arial"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6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color w:val="000000"/>
      <w:u w:color="000000"/>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6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