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hAnsi="Times Roman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hAnsi="Times Roman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6"/>
          <w:szCs w:val="26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  <w:t>HBTSR Grant Giving Policy</w:t>
      </w:r>
      <w:r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  <w:t xml:space="preserve"> revised November 2021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6"/>
          <w:szCs w:val="26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rtl w:val="0"/>
          <w:lang w:val="fr-FR"/>
        </w:rPr>
        <w:t xml:space="preserve">Pre-amble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We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use the term </w:t>
      </w:r>
      <w:r>
        <w:rPr>
          <w:rFonts w:ascii="Times Roman" w:hAnsi="Times Roman" w:hint="default"/>
          <w:sz w:val="26"/>
          <w:szCs w:val="26"/>
          <w:rtl w:val="0"/>
          <w:lang w:val="en-US"/>
        </w:rPr>
        <w:t>‘</w:t>
      </w:r>
      <w:r>
        <w:rPr>
          <w:rFonts w:ascii="Times Roman" w:hAnsi="Times Roman"/>
          <w:sz w:val="26"/>
          <w:szCs w:val="26"/>
          <w:rtl w:val="0"/>
          <w:lang w:val="en-US"/>
        </w:rPr>
        <w:t>Grant</w:t>
      </w:r>
      <w:r>
        <w:rPr>
          <w:rFonts w:ascii="Times Roman" w:hAnsi="Times Roman" w:hint="default"/>
          <w:sz w:val="26"/>
          <w:szCs w:val="26"/>
          <w:rtl w:val="0"/>
          <w:lang w:val="en-US"/>
        </w:rPr>
        <w:t xml:space="preserve">’ 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for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donations made by HBTSR . A grant may be made to another charity,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another organisation (not a charity), a family or an individual.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As a charity ourselves, we are only permitted to make a grant where the purpose of that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grant falls clearly within the charitable purposes of HBTSR.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All grants </w:t>
      </w:r>
      <w:r>
        <w:rPr>
          <w:rFonts w:ascii="Times Roman" w:hAnsi="Times Roman"/>
          <w:sz w:val="26"/>
          <w:szCs w:val="26"/>
          <w:rtl w:val="0"/>
          <w:lang w:val="en-US"/>
        </w:rPr>
        <w:t>will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 be given with no expectation of repayment.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Grant giving is not a primary purpose of HBTSR. Normally we will consider giving such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grants only in the following circumstances: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 w:hint="default"/>
          <w:sz w:val="26"/>
          <w:szCs w:val="26"/>
          <w:rtl w:val="0"/>
        </w:rPr>
        <w:t xml:space="preserve">•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Where a specific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important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need is identified, which the grant could help to </w:t>
      </w:r>
      <w:r>
        <w:rPr>
          <w:rFonts w:ascii="Times Roman" w:hAnsi="Times Roman"/>
          <w:sz w:val="26"/>
          <w:szCs w:val="26"/>
          <w:rtl w:val="0"/>
          <w:lang w:val="en-US"/>
        </w:rPr>
        <w:t>solve</w:t>
      </w:r>
      <w:r>
        <w:rPr>
          <w:rFonts w:ascii="Times Roman" w:hAnsi="Times Roman"/>
          <w:sz w:val="26"/>
          <w:szCs w:val="26"/>
          <w:rtl w:val="0"/>
        </w:rPr>
        <w:t xml:space="preserve">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and where no obvious alternative source of funding is available.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 w:hint="default"/>
          <w:sz w:val="26"/>
          <w:szCs w:val="26"/>
          <w:rtl w:val="0"/>
        </w:rPr>
        <w:t xml:space="preserve">•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Where we currently have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enough money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beyond the present and anticipated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>needs of HBTSR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 own activities </w:t>
      </w:r>
      <w:r>
        <w:rPr>
          <w:rFonts w:ascii="Times Roman" w:hAnsi="Times Roman"/>
          <w:sz w:val="26"/>
          <w:szCs w:val="26"/>
          <w:rtl w:val="0"/>
        </w:rPr>
        <w:t xml:space="preserve">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6"/>
          <w:szCs w:val="26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  <w:t xml:space="preserve">Grants to individuals and families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>These will be made from the HBTSR Hardship Fund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 or at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323149</wp:posOffset>
            </wp:positionH>
            <wp:positionV relativeFrom="page">
              <wp:posOffset>174746</wp:posOffset>
            </wp:positionV>
            <wp:extent cx="6913606" cy="1525793"/>
            <wp:effectExtent l="0" t="0" r="0" b="0"/>
            <wp:wrapThrough wrapText="bothSides" distL="152400" distR="152400">
              <wp:wrapPolygon edited="1">
                <wp:start x="0" y="0"/>
                <wp:lineTo x="0" y="21603"/>
                <wp:lineTo x="21600" y="21603"/>
                <wp:lineTo x="21600" y="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913606" cy="15257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 the discretion of Trustees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, for which we have a separate policy and a Hardship Fund Sub-Committee to administer them. They are clearly justifiable under our charitable objects (see below for full text) as being to </w:t>
      </w:r>
      <w:r>
        <w:rPr>
          <w:rFonts w:ascii="Times Roman" w:hAnsi="Times Roman" w:hint="default"/>
          <w:sz w:val="26"/>
          <w:szCs w:val="26"/>
          <w:rtl w:val="1"/>
          <w:lang w:val="ar-SA" w:bidi="ar-SA"/>
        </w:rPr>
        <w:t>“</w:t>
      </w:r>
      <w:r>
        <w:rPr>
          <w:rFonts w:ascii="Times Roman" w:hAnsi="Times Roman"/>
          <w:sz w:val="26"/>
          <w:szCs w:val="26"/>
          <w:rtl w:val="0"/>
          <w:lang w:val="en-US"/>
        </w:rPr>
        <w:t>relieve financial and social hardship and distress...</w:t>
      </w:r>
      <w:r>
        <w:rPr>
          <w:rFonts w:ascii="Times Roman" w:hAnsi="Times Roman" w:hint="default"/>
          <w:sz w:val="26"/>
          <w:szCs w:val="26"/>
          <w:rtl w:val="0"/>
        </w:rPr>
        <w:t>”</w:t>
      </w:r>
      <w:r>
        <w:rPr>
          <w:rFonts w:ascii="Times Roman" w:hAnsi="Times Roman"/>
          <w:sz w:val="26"/>
          <w:szCs w:val="26"/>
          <w:rtl w:val="0"/>
        </w:rPr>
        <w:t xml:space="preserve">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6"/>
          <w:szCs w:val="26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  <w:t xml:space="preserve">Deciding to make a grant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>The remaining sections of this policy apply to all grants other than those made from the HBTSR</w:t>
      </w:r>
      <w:r>
        <w:rPr>
          <w:rFonts w:ascii="Times Roman" w:hAnsi="Times Roman" w:hint="default"/>
          <w:sz w:val="26"/>
          <w:szCs w:val="26"/>
          <w:rtl w:val="1"/>
        </w:rPr>
        <w:t>’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s Hardship Fund, which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is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governed by the separate Hardship Fund Policy.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The Charity Commission outlines the following steps that we should follow.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>1. Know your charity</w:t>
      </w:r>
      <w:r>
        <w:rPr>
          <w:rFonts w:ascii="Times Roman" w:hAnsi="Times Roman" w:hint="default"/>
          <w:sz w:val="26"/>
          <w:szCs w:val="26"/>
          <w:rtl w:val="1"/>
        </w:rPr>
        <w:t>’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s purposes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>2. Systems to consider grant applications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3. Is the grant receiver a charity?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4. Risk assessment &amp; due diligence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5. Limits on funding non-charities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6. Setting the terms and conditions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7. Monitoring spending of the grant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6"/>
          <w:szCs w:val="26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rtl w:val="0"/>
        </w:rPr>
        <w:t>1. HBTSR</w:t>
      </w:r>
      <w:r>
        <w:rPr>
          <w:rFonts w:ascii="Times Roman" w:hAnsi="Times Roman" w:hint="default"/>
          <w:b w:val="1"/>
          <w:bCs w:val="1"/>
          <w:sz w:val="26"/>
          <w:szCs w:val="26"/>
          <w:rtl w:val="1"/>
        </w:rPr>
        <w:t>’</w:t>
      </w:r>
      <w:r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  <w:t xml:space="preserve">s charitable purposes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Our Purposes or Charitable Objects, as registered with the Charity Commission are: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>The charity</w:t>
      </w:r>
      <w:r>
        <w:rPr>
          <w:rFonts w:ascii="Times Roman" w:hAnsi="Times Roman" w:hint="default"/>
          <w:sz w:val="26"/>
          <w:szCs w:val="26"/>
          <w:rtl w:val="1"/>
        </w:rPr>
        <w:t>’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s objects (the objects) are to advance education, relieve financial and social hardship and distress amongst people seeking refuge/asylum and a place of sanctuary outside the borders of their own countries and to educate the British public, service providers and policy makers about their plight, in particular but not exclusively by: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a. Promoting in Hay, Brecon and Talgarth and the surrounding areas the provision of places of respite and sanctuary by visits and/or longer stays for people seeking asylum or refuge and the enjoyment of the peace and recreational facilities of our communities;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b. Encouraging and supporting local communities, service providers, voluntary and public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bodies and faith organisations to participate in the provision of respite and sanctuary, and in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general in welcoming and assisting people seeking asylum or refuge;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c. Providing accurate and up-to-date information to the public, local community, public bodies and elected representatives about the situation of people seeking asylum or refuge and ways of alleviating their distress;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d. Facilitating and celebrating the contribution of people seeking refuge or asylum to their local communities, and to UK society and culture and challenging hostility and discrimination against them;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e. Inform, encourage and promote public policies which contribute to the provision of refuge and sanctuary and diminish the distress of people seeking asylum or refuge.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6"/>
          <w:szCs w:val="26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  <w:t xml:space="preserve">2. Systems to consider grant applications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>Since grant giving is not one of our primary activities, we do not need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 to </w:t>
      </w:r>
      <w:r>
        <w:rPr>
          <w:rFonts w:ascii="Times Roman" w:hAnsi="Times Roman"/>
          <w:sz w:val="26"/>
          <w:szCs w:val="26"/>
          <w:rtl w:val="0"/>
          <w:lang w:val="es-ES_tradnl"/>
        </w:rPr>
        <w:t>adverti</w:t>
      </w:r>
      <w:r>
        <w:rPr>
          <w:rFonts w:ascii="Times Roman" w:hAnsi="Times Roman"/>
          <w:sz w:val="26"/>
          <w:szCs w:val="26"/>
          <w:rtl w:val="0"/>
          <w:lang w:val="en-US"/>
        </w:rPr>
        <w:t>se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 the availability of grants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or seek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tenders. Our grant giving is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 entirely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discretionary.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The proposal to make a grant usually comes from: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 w:hint="default"/>
          <w:sz w:val="26"/>
          <w:szCs w:val="26"/>
          <w:rtl w:val="0"/>
        </w:rPr>
        <w:t xml:space="preserve">•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A specific request by an organisation with which we work, or which shares our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purposes;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 w:hint="default"/>
          <w:sz w:val="26"/>
          <w:szCs w:val="26"/>
          <w:rtl w:val="0"/>
        </w:rPr>
        <w:t xml:space="preserve">• </w:t>
      </w:r>
      <w:r>
        <w:rPr>
          <w:rFonts w:ascii="Times Roman" w:hAnsi="Times Roman"/>
          <w:sz w:val="26"/>
          <w:szCs w:val="26"/>
          <w:rtl w:val="0"/>
          <w:lang w:val="en-US"/>
        </w:rPr>
        <w:t>A suggestion from a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 trustee </w:t>
      </w:r>
      <w:r>
        <w:rPr>
          <w:rFonts w:ascii="Times Roman" w:hAnsi="Times Roman"/>
          <w:sz w:val="26"/>
          <w:szCs w:val="26"/>
          <w:rtl w:val="0"/>
        </w:rPr>
        <w:t xml:space="preserve">or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supporter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of HBTSR;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 w:hint="default"/>
          <w:sz w:val="26"/>
          <w:szCs w:val="26"/>
          <w:rtl w:val="0"/>
        </w:rPr>
        <w:t xml:space="preserve">• </w:t>
      </w:r>
      <w:r>
        <w:rPr>
          <w:rFonts w:ascii="Times Roman" w:hAnsi="Times Roman"/>
          <w:sz w:val="26"/>
          <w:szCs w:val="26"/>
          <w:rtl w:val="0"/>
          <w:lang w:val="en-US"/>
        </w:rPr>
        <w:t>Our having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 sufficient money to be able to help.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>The proposal should be formally made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 at a group meeting and approved by a majority of the Trustees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. The Trustees may approve and authorise the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Treasurer </w:t>
      </w:r>
      <w:r>
        <w:rPr>
          <w:rFonts w:ascii="Times Roman" w:hAnsi="Times Roman"/>
          <w:sz w:val="26"/>
          <w:szCs w:val="26"/>
          <w:rtl w:val="0"/>
          <w:lang w:val="en-US"/>
        </w:rPr>
        <w:t>to make the grant. Or, they may reject the proposal or refer it back to the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Group Meeting for further work and discussion. The decision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will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be reported to the next Group Meeting and recorded in the Minutes.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Recipients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 will be asked to acknowledge receipt and to report upon how </w:t>
      </w:r>
      <w:r>
        <w:rPr>
          <w:rFonts w:ascii="Times Roman" w:hAnsi="Times Roman"/>
          <w:sz w:val="26"/>
          <w:szCs w:val="26"/>
          <w:rtl w:val="0"/>
          <w:lang w:val="en-US"/>
        </w:rPr>
        <w:t>the grant was spent and the outcome</w:t>
      </w:r>
      <w:r>
        <w:rPr>
          <w:rFonts w:ascii="Times Roman" w:hAnsi="Times Roman"/>
          <w:sz w:val="26"/>
          <w:szCs w:val="26"/>
          <w:rtl w:val="0"/>
          <w:lang w:val="en-US"/>
        </w:rPr>
        <w:t>s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 achieved.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Recipients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will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be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asked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to notify any variation in the stated use of the grant, arising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>from changed circumstances. HBTSR</w:t>
      </w:r>
      <w:r>
        <w:rPr>
          <w:rFonts w:ascii="Times Roman" w:hAnsi="Times Roman" w:hint="default"/>
          <w:sz w:val="26"/>
          <w:szCs w:val="26"/>
          <w:rtl w:val="1"/>
        </w:rPr>
        <w:t>’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s Trustees should consider these and decide whether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>to endorse the change or require repayment of part or all of the grant.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  <w:t>3. Is the grant receiver a charity?</w:t>
      </w:r>
      <w:r>
        <w:rPr>
          <w:rFonts w:ascii="Times Roman" w:hAnsi="Times Roman"/>
          <w:sz w:val="26"/>
          <w:szCs w:val="26"/>
          <w:rtl w:val="0"/>
        </w:rPr>
        <w:t xml:space="preserve">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&amp; </w:t>
      </w:r>
      <w:r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  <w:t xml:space="preserve">5. Limits on funding non-charities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We are allowed to make a grant to another charity as a way of meeting our charitable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>purposes, provided that this is in our charity</w:t>
      </w:r>
      <w:r>
        <w:rPr>
          <w:rFonts w:ascii="Times Roman" w:hAnsi="Times Roman" w:hint="default"/>
          <w:sz w:val="26"/>
          <w:szCs w:val="26"/>
          <w:rtl w:val="1"/>
        </w:rPr>
        <w:t>’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s best interests. We have to check that any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money given is used as we expected it to be.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We can also make grants to organisations which are not charities, such as social enterprises,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campaigning organisations, and organisations based outside the UK.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>However extra care is required since such organisations don</w:t>
      </w:r>
      <w:r>
        <w:rPr>
          <w:rFonts w:ascii="Times Roman" w:hAnsi="Times Roman" w:hint="default"/>
          <w:sz w:val="26"/>
          <w:szCs w:val="26"/>
          <w:rtl w:val="1"/>
        </w:rPr>
        <w:t>’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t have to deliver public benefit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or comply with charitable purposes, and may be unfamiliar with charity law requirements.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>Any grant made must only be used to further or support HBTSR</w:t>
      </w:r>
      <w:r>
        <w:rPr>
          <w:rFonts w:ascii="Times Roman" w:hAnsi="Times Roman" w:hint="default"/>
          <w:sz w:val="26"/>
          <w:szCs w:val="26"/>
          <w:rtl w:val="1"/>
        </w:rPr>
        <w:t>’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s purposes, and for no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other purpose.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6"/>
          <w:szCs w:val="26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  <w:t xml:space="preserve">4. Risk assessment &amp; due diligence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The Trustees, before approving a grant, should consider: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 w:hint="default"/>
          <w:sz w:val="26"/>
          <w:szCs w:val="26"/>
          <w:rtl w:val="0"/>
        </w:rPr>
        <w:t xml:space="preserve">•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Is the identity of the receiving organisation clear and does it have a postal address?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 w:hint="default"/>
          <w:sz w:val="26"/>
          <w:szCs w:val="26"/>
          <w:rtl w:val="0"/>
        </w:rPr>
        <w:t xml:space="preserve">•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If the organisation is not a charity, what is its structure? Does it have named officers,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a council, membership, meetings, AGM, minutes?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 w:hint="default"/>
          <w:sz w:val="26"/>
          <w:szCs w:val="26"/>
          <w:rtl w:val="0"/>
        </w:rPr>
        <w:t xml:space="preserve">•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Is the receiving organisation capable of receiving, spending and accounting for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expenditure of the grant (this is particularly important for any organisation based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outside the UK)?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 w:hint="default"/>
          <w:sz w:val="26"/>
          <w:szCs w:val="26"/>
          <w:rtl w:val="0"/>
        </w:rPr>
        <w:t xml:space="preserve">•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Does the receiving organisation have a treasurer and publish accounts?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Once the grant is approved and paid: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The Treasurer will be responsible for obtaining receipts and any reporting required of the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recipient and submitting these to the Trustees.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6"/>
          <w:szCs w:val="26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  <w:t xml:space="preserve">6. Setting the terms and conditions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</w:rPr>
        <w:t xml:space="preserve">HBTSR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will obtain agreement from a recipient about the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 w:hint="default"/>
          <w:sz w:val="26"/>
          <w:szCs w:val="26"/>
          <w:rtl w:val="0"/>
        </w:rPr>
        <w:t xml:space="preserve">•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The amount and purpose of the grant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 w:hint="default"/>
          <w:sz w:val="26"/>
          <w:szCs w:val="26"/>
          <w:rtl w:val="0"/>
        </w:rPr>
        <w:t xml:space="preserve">•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The payment date or schedule (if more than one payment is to be made)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 w:hint="default"/>
          <w:sz w:val="26"/>
          <w:szCs w:val="26"/>
          <w:rtl w:val="0"/>
        </w:rPr>
        <w:t xml:space="preserve">•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The requirement to acknowledge receipt of the payment(s)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 w:hint="default"/>
          <w:sz w:val="26"/>
          <w:szCs w:val="26"/>
          <w:rtl w:val="0"/>
        </w:rPr>
        <w:t xml:space="preserve">•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Specific reporting requirements and dates. There should be at least one report,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however brief, for each grant.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 w:hint="default"/>
          <w:sz w:val="26"/>
          <w:szCs w:val="26"/>
          <w:rtl w:val="0"/>
        </w:rPr>
        <w:t xml:space="preserve">•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Procedure to follow to request changes in planned expenditure to deal with changed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</w:rPr>
        <w:t xml:space="preserve">circumstances.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6"/>
          <w:szCs w:val="26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rtl w:val="0"/>
        </w:rPr>
        <w:t xml:space="preserve">7. Monitoring spending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The receiving organisation must provide a receipt for each payment received as part of a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</w:rPr>
        <w:t xml:space="preserve">grant.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Monitoring will be </w:t>
      </w:r>
      <w:r>
        <w:rPr>
          <w:rFonts w:ascii="Times Roman" w:hAnsi="Times Roman"/>
          <w:sz w:val="26"/>
          <w:szCs w:val="26"/>
          <w:rtl w:val="0"/>
          <w:lang w:val="en-US"/>
        </w:rPr>
        <w:t>agreed at the time of making the grant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. It will include at least one report.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>Whe</w:t>
      </w:r>
      <w:r>
        <w:rPr>
          <w:rFonts w:ascii="Times Roman" w:hAnsi="Times Roman"/>
          <w:sz w:val="26"/>
          <w:szCs w:val="26"/>
          <w:rtl w:val="0"/>
          <w:lang w:val="en-US"/>
        </w:rPr>
        <w:t>n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 practica</w:t>
      </w:r>
      <w:r>
        <w:rPr>
          <w:rFonts w:ascii="Times Roman" w:hAnsi="Times Roman"/>
          <w:sz w:val="26"/>
          <w:szCs w:val="26"/>
          <w:rtl w:val="0"/>
          <w:lang w:val="en-US"/>
        </w:rPr>
        <w:t>l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,Trustees of HBTSR may visit the recipient in order to observe how the grant has been spent and the effects it has had.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>Where the grant is for purchase of a specific item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, we will seek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 a copy of the purchase receipt or e-mail be sent to HBTSR.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6"/>
          <w:szCs w:val="26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  <w:t xml:space="preserve">Recording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All decisions regarding grant giving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are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 recorded in the minutes of Group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>Meetings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 and Trustee meetings </w:t>
      </w:r>
      <w:r>
        <w:rPr>
          <w:rFonts w:ascii="Times Roman" w:hAnsi="Times Roman"/>
          <w:sz w:val="26"/>
          <w:szCs w:val="26"/>
          <w:rtl w:val="0"/>
        </w:rPr>
        <w:t xml:space="preserve">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The annual accounts of HBTSR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will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 itemise any grants made and include notes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>summarising the purpose of each.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>Revised November 2021.   AD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